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185" w:rsidRDefault="00452185">
      <w:pPr>
        <w:widowControl w:val="0"/>
        <w:autoSpaceDE w:val="0"/>
        <w:autoSpaceDN w:val="0"/>
        <w:adjustRightInd w:val="0"/>
        <w:spacing w:after="0" w:line="240" w:lineRule="auto"/>
        <w:jc w:val="both"/>
        <w:outlineLvl w:val="0"/>
        <w:rPr>
          <w:rFonts w:ascii="Calibri" w:hAnsi="Calibri" w:cs="Calibri"/>
        </w:rPr>
      </w:pPr>
    </w:p>
    <w:p w:rsidR="00452185" w:rsidRDefault="00452185">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[неофициальный перевод]</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СОВЕТ ЕВРОПЫ</w:t>
      </w:r>
    </w:p>
    <w:p w:rsidR="00452185" w:rsidRDefault="00452185">
      <w:pPr>
        <w:widowControl w:val="0"/>
        <w:autoSpaceDE w:val="0"/>
        <w:autoSpaceDN w:val="0"/>
        <w:adjustRightInd w:val="0"/>
        <w:spacing w:after="0" w:line="240" w:lineRule="auto"/>
        <w:jc w:val="center"/>
        <w:rPr>
          <w:rFonts w:ascii="Calibri" w:hAnsi="Calibri" w:cs="Calibri"/>
          <w:b/>
          <w:bCs/>
        </w:rPr>
      </w:pPr>
    </w:p>
    <w:p w:rsidR="00452185" w:rsidRDefault="0045218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КОНВЕНЦИЯ</w:t>
      </w:r>
    </w:p>
    <w:p w:rsidR="00452185" w:rsidRDefault="0045218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ГРАЖДАНСКО-ПРАВОВОЙ ОТВЕТСТВЕННОСТИ ЗА КОРРУПЦИЮ</w:t>
      </w:r>
    </w:p>
    <w:p w:rsidR="00452185" w:rsidRDefault="0045218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(ETS N 174)</w:t>
      </w:r>
    </w:p>
    <w:p w:rsidR="00452185" w:rsidRDefault="00452185">
      <w:pPr>
        <w:widowControl w:val="0"/>
        <w:autoSpaceDE w:val="0"/>
        <w:autoSpaceDN w:val="0"/>
        <w:adjustRightInd w:val="0"/>
        <w:spacing w:after="0" w:line="240" w:lineRule="auto"/>
        <w:jc w:val="center"/>
        <w:rPr>
          <w:rFonts w:ascii="Calibri" w:hAnsi="Calibri" w:cs="Calibri"/>
          <w:b/>
          <w:bCs/>
        </w:rPr>
      </w:pPr>
    </w:p>
    <w:p w:rsidR="00452185" w:rsidRDefault="0045218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(Страсбург, 4 ноября 1999 года)</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Преамбула</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Государства - члены Совета Европы, другие государства и Европейское сообщество, подписавшие настоящую Конвенцию,</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считая, что целью Совета Европы является достижение большего единства между его членами;</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осознавая важность укрепления международного сотрудничества в борьбе с коррупцией;</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подчеркивая, что коррупция представляет собой серьезную угрозу верховенству закона, демократии и правам человека, равенству и социальной справедливости, затрудняет экономическое развитие и угрожает надлежащему и справедливому функционированию рыночной экономики;</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осознавая вредные финансовые последствия коррупции для частных лиц, компаний и государств, а также для международных институтов;</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будучи убеждены в важности вклада гражданского права в борьбе с коррупцией, в частности, позволяя лицам, понесшим ущерб, получить справедливую компенсацию;</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напоминая решения и резолюции 19-й (Мальта, 1994 год), 21-й (Чешская Республика, 1997 год) и 22-й (Молдова, 1999 год) Конференций министров юстиции европейских стран;</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принимая во внимание Программу действий по борьбе с коррупцией, принятую Комитетом министров в ноябре 1996 года;</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принимая также во внимание результаты изучения возможности разработки конвенции о гражданско-правовых средствах возмещения ущерба, возникающего в результате актов коррупции, одобренной Комитетом министров в феврале 1997 года;</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учитывая Резолюцию (97) 24 о двадцати руководящих принципах борьбы с коррупцией, принятую Комитетом министров в ноябре 1997 года на своей 101-й сессии, Резолюцию (98) 7, санкционирующую принятие частичного расширенного соглашения о создании "Группы государств против коррупции (ГРЕКО)", принятую Комитетом министров в мае 1998 года на его 102-й сессии, и Резолюцию (99) 5 о создании ГРЕКО, принятую 1 мая 1999 года;</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напоминая о Заключительной декларации и Плане действий, принятых главами государств и правительств государств - членов Совета Европы на своей второй встрече в Страсбурге в октябре 1997 года,</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договорились о нижеследующем:</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I. МЕРЫ, ПРИНИМАЕМЫЕ НА НАЦИОНАЛЬНОМ УРОВНЕ</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Цель</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предусматривает в своем внутреннем праве эффективные средства правовой защиты для лиц, понесших ущерб в результате актов коррупции, позволяющие им защищать свои права и интересы, включая возможность получения компенсации за ущерб.</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2</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Определение коррупции</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настоящей Конвенции "коррупция" означает просьбу, предложение, дачу или принятие, прямо или косвенно, взятки или любого другого ненадлежащего преимущества или обещания такового, которые искажают нормальное выполнение любой обязанности или поведение, требуемое от получателя взятки, ненадлежащего преимущества или обещания такового.</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3</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Возмещение ущерба</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Каждая Сторона предусматривает в своем внутреннем праве нормы, закрепляющие право лиц, понесших ущерб в результате коррупции, подать иск с целью получения полного возмещения ущерба.</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Такое возмещение может охватывать нанесенный материальный ущерб, упущенную финансовую выгоду и нематериальный вред.</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4</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Ответственность</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Каждая Сторона предусматривает в своем внутреннем праве следующие условия, которые должны быть выполнены для того, чтобы ущерб подлежал возмещению:</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ответчик совершил или санкционировал акт коррупции, или не предпринял разумные шаги для предотвращения акта коррупции;</w:t>
      </w:r>
    </w:p>
    <w:p w:rsidR="00452185" w:rsidRDefault="00452185">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ii</w:t>
      </w:r>
      <w:proofErr w:type="spellEnd"/>
      <w:r>
        <w:rPr>
          <w:rFonts w:ascii="Calibri" w:hAnsi="Calibri" w:cs="Calibri"/>
        </w:rPr>
        <w:t>) истец понес ущерб; и</w:t>
      </w:r>
    </w:p>
    <w:p w:rsidR="00452185" w:rsidRDefault="00452185">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iii</w:t>
      </w:r>
      <w:proofErr w:type="spellEnd"/>
      <w:r>
        <w:rPr>
          <w:rFonts w:ascii="Calibri" w:hAnsi="Calibri" w:cs="Calibri"/>
        </w:rPr>
        <w:t>) существует причинно-следственная связь между актом коррупции и нанесенным ущербом.</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Каждая Сторона предусматривает в своем внутреннем праве, что, если несколько ответчиков ответственны за ущерб, причиненный одним и тем же актом коррупции, то они будут нести солидарную и долевую ответственность.</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5</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Ответственность государств</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предусматривает в своем внутреннем праве надлежащие процедуры, позволяющие лицам, понесшим ущерб в результате акта коррупции, совершенного ее публичными должностными лицами в ходе осуществления ими своих функций, требовать возмещение ущерба от государства или, в случае если Сторона не является государством, от соответствующих властей данной Стороны.</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6</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Неосторожность пострадавшего</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предусматривает в своем внутреннем праве, что объем возмещения ущерба уменьшается или в его возмещении может быть отказано, принимая во внимание все обстоятельства, если истец по его или ее собственной вине способствовал причинению ущерба или его усугублению.</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7</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Сроки исковой давности</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bookmarkStart w:id="0" w:name="Par73"/>
      <w:bookmarkEnd w:id="0"/>
      <w:r>
        <w:rPr>
          <w:rFonts w:ascii="Calibri" w:hAnsi="Calibri" w:cs="Calibri"/>
        </w:rPr>
        <w:t>1. Каждая Сторона предусматривает в своем внутреннем праве, что к судопроизводству по возмещению ущерба применяется срок исковой давности не менее трех лет со дня, когда лицу, понесшему ущерб, стало известно или, исходя из здравого смысла, должно было стать известно о возникновении ущерба или о совершенном акте коррупции и о лице, ответственном за это. Тем не менее, подобный иск не может быть предъявлен по истечении не менее десяти лет с момента совершения коррупционного действия.</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Законодательство Сторон, регулирующее приостановление или перерыв сроков исковой давности, должно, в случае необходимости, применяться к срокам, определенным в </w:t>
      </w:r>
      <w:hyperlink w:anchor="Par73" w:history="1">
        <w:r>
          <w:rPr>
            <w:rFonts w:ascii="Calibri" w:hAnsi="Calibri" w:cs="Calibri"/>
            <w:color w:val="0000FF"/>
          </w:rPr>
          <w:t>пункте 1</w:t>
        </w:r>
      </w:hyperlink>
      <w:r>
        <w:rPr>
          <w:rFonts w:ascii="Calibri" w:hAnsi="Calibri" w:cs="Calibri"/>
        </w:rPr>
        <w:t>.</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8</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Юридическая сила контрактов</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Каждая Сторона предусматривает в своем внутреннем праве, что любой контракт или положение контракта, предусматривающие совершение акта коррупции, являются недействительными и не имеющими юридической силы.</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Каждая Сторона предусматривает в своем внутреннем праве возможность для всех сторон контракта, чье согласие было нарушено актом коррупции, обратиться в суд с целью признания контракта не имеющим юридической силы, несмотря на их право требовать возмещения ущерба.</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9</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Защита служащих</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предусматривает в своем внутреннем праве надлежащую защиту от любой неоправданной меры служащих, которые имеют серьезные основания подозревать наличие коррупции и добросовестно сообщают о своем подозрении компетентным лицам или властям.</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10</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Отчеты и аудит</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Каждая Сторона для развития своего внутреннего права принимает любые необходимые меры с тем, чтобы ежегодные отчеты компаний составлялись правильно и давали правдивое и честное представление о финансовом положении компании.</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целью предупреждения актов коррупции каждая Сторона предусматривает в своем внутреннем праве нормы об аудиторах, задачей которых является подтвердить, что ежегодные отчеты дают правдивое и честное представление о финансовом положении компании.</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11</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Получение доказательств</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предусматривает в своем внутреннем праве эффективные процедуры для получения доказательств в гражданском судопроизводстве, вытекающих из акта коррупции.</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12</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Временные меры</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Каждая Сторона предусматривает в своем внутреннем праве возможность для суда выносить такие распоряжения, которые необходимы для защиты прав и интересов Сторон в ходе гражданского судопроизводства по делу о коррупции.</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II. МЕЖДУНАРОДНОЕ СОТРУДНИЧЕСТВО И КОНТРОЛЬ</w:t>
      </w: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ЗА ВЫПОЛНЕНИЕМ</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13</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Международное сотрудничество</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Стороны эффективно сотрудничают в вопросах, относящихся к гражданскому судопроизводству по делам о коррупции, особенно в вопросах работы с документами, получения доказательств за рубежом, юрисдикции, признания и обеспечения выполнения иностранных судебных решений и судебных расходов в соответствии с положениями международных договоров о международном сотрудничестве в гражданско-правовой и коммерческой сфере, участниками которых они являются, а также в соответствии с их внутренним правом.</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14</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Группа государств против коррупции (ГРЕКО) контролирует выполнение данной Конвенции Сторонами.</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Раздел III. ЗАКЛЮЧИТЕЛЬНЫЕ ПОЛОЖЕНИЯ</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bookmarkStart w:id="1" w:name="Par125"/>
      <w:bookmarkEnd w:id="1"/>
      <w:r>
        <w:rPr>
          <w:rFonts w:ascii="Calibri" w:hAnsi="Calibri" w:cs="Calibri"/>
        </w:rPr>
        <w:t>Статья 15</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Подписание и вступление в силу</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bookmarkStart w:id="2" w:name="Par129"/>
      <w:bookmarkEnd w:id="2"/>
      <w:r>
        <w:rPr>
          <w:rFonts w:ascii="Calibri" w:hAnsi="Calibri" w:cs="Calibri"/>
        </w:rP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и Европейским сообществом.</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Настоящая Конвенция подлежит ратификации, принятию или одобрению. Ратификационные грамоты, документы о принятии или одобрении сдаются на хранение Генеральному секретарю Совета Европы.</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Настоящая Конвенция вступает в силу в первый день месяца после истечения трехмесячного периода с даты, когда четырнадцать государств, подписавших ее, заявят о своем согласии быть связанными Конвенцией в соответствии с положениями </w:t>
      </w:r>
      <w:hyperlink w:anchor="Par129" w:history="1">
        <w:r>
          <w:rPr>
            <w:rFonts w:ascii="Calibri" w:hAnsi="Calibri" w:cs="Calibri"/>
            <w:color w:val="0000FF"/>
          </w:rPr>
          <w:t>пункта 1</w:t>
        </w:r>
      </w:hyperlink>
      <w:r>
        <w:rPr>
          <w:rFonts w:ascii="Calibri" w:hAnsi="Calibri" w:cs="Calibri"/>
        </w:rPr>
        <w:t>. Любое такое государство, подписавшее Конвенцию и не являющееся членом Группы государств против коррупции (ГРЕКО) в момент ратификации, принятия или одобрения, автоматически становится ее членом со дня вступления Конвенции в силу.</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отношении любого подписавшего Конвенцию государства, которое впоследствии заявляет о своем согласии быть связанным ею, Конвенция вступает в силу в первый день месяца, следующего после истечения трехмесячного периода с даты выражения согласия быть связанным Конвенцией в соответствии с положениями </w:t>
      </w:r>
      <w:hyperlink w:anchor="Par129" w:history="1">
        <w:r>
          <w:rPr>
            <w:rFonts w:ascii="Calibri" w:hAnsi="Calibri" w:cs="Calibri"/>
            <w:color w:val="0000FF"/>
          </w:rPr>
          <w:t>пункта 1</w:t>
        </w:r>
      </w:hyperlink>
      <w:r>
        <w:rPr>
          <w:rFonts w:ascii="Calibri" w:hAnsi="Calibri" w:cs="Calibri"/>
        </w:rPr>
        <w:t>. Любая Сторона, подписавшая Конвенцию и не являющаяся членом Группы государств против коррупции (ГРЕКО) в момент ее ратификации, принятия или одобрения, становится автоматически членом ГРЕКО в день вступления в силу по отношению к нему данной Конвенции.</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Специфические условия участия Европейского сообщества в Группе государств против коррупции (ГРЕКО) определяются, по мере необходимости, общим соглашением с Европейским сообществом.</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bookmarkStart w:id="3" w:name="Par135"/>
      <w:bookmarkEnd w:id="3"/>
      <w:r>
        <w:rPr>
          <w:rFonts w:ascii="Calibri" w:hAnsi="Calibri" w:cs="Calibri"/>
        </w:rPr>
        <w:t>Статья 16</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Присоединение к Конвенции</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вступления настоящей Конвенции в силу Комитет министров Совета Европы, проведя консультации со Сторонами Конвенции, может предложить любому государству, не являющемуся членом Совета Европы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w:t>
      </w:r>
      <w:hyperlink r:id="rId4" w:history="1">
        <w:r>
          <w:rPr>
            <w:rFonts w:ascii="Calibri" w:hAnsi="Calibri" w:cs="Calibri"/>
            <w:color w:val="0000FF"/>
          </w:rPr>
          <w:t>статьей 20 "d"</w:t>
        </w:r>
      </w:hyperlink>
      <w:r>
        <w:rPr>
          <w:rFonts w:ascii="Calibri" w:hAnsi="Calibri" w:cs="Calibri"/>
        </w:rPr>
        <w:t xml:space="preserve"> Устава Совета Европы, и при единодушном голосовании представителей Сторон, имеющих право участвовать в работе Комитета.</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любого государства, присоединяющегося к Конвенции, она вступает в силу в первый день месяца, следующего после истечения трехмесячного периода с даты сдачи документа о присоединении на хранение Генеральному секретарю Совета Европы.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с даты вступления для него Конвенции в силу.</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17</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Оговорки</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Никакие оговорки не могут быть сделаны в отношении какого-либо положения настоящей Конвенции.</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18</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Территориальное применение</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Любое государство или Европейское сообщество может в момент подписания или сдачи на хранение ратификационной грамоты, документа о принятии, одобрении или присоединении указать территорию или территории, к которым применяется Конвенция.</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с даты получения Генеральным секретарем такого заявления.</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Любое заявление, сделанное согласно двум предыдущим пунктам, в отношении любой территории, указанной в таком заявлении, может быть отозвано путем представления уведомления на имя Генерального секретаря. Отзыв вступает в силу в первый день месяца, следующего после истечения трехмесячного периода с даты получения Генеральным секретарем такого уведомления.</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19</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Соотношение с другими конвенциями и соглашениями</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Настоящая Конвенция не затрагивает прав и обязательств, вытекающих из многосторонних международных конвенций по специальным вопросам.</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 или, без ущерба целям и принципам настоящей Конвенции, выполнять правила, относящиеся к данным вопросам, в рамках специальной системы, обязательной в момент открытия для подписания настоящей Конвенции.</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вместо настоящей Конвенции это соглашение или договор или соответствующим образом регулировать свои отношения.</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20</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Поправки</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Поправки к настоящей Конвенции могут быть предложены любой Стороной. Генеральный секретарь Совета Европы доводит их до сведения государств - членов Совета Европы, государств, не являющихся его членами и участвовавших в разработке настоящей Конвенции, Европейского сообщества, а также любого государства, которое присоединилось или которому было предложено присоединиться к настоящей Конвенции в соответствии с положениями </w:t>
      </w:r>
      <w:hyperlink w:anchor="Par135" w:history="1">
        <w:r>
          <w:rPr>
            <w:rFonts w:ascii="Calibri" w:hAnsi="Calibri" w:cs="Calibri"/>
            <w:color w:val="0000FF"/>
          </w:rPr>
          <w:t>статьи 16</w:t>
        </w:r>
      </w:hyperlink>
      <w:r>
        <w:rPr>
          <w:rFonts w:ascii="Calibri" w:hAnsi="Calibri" w:cs="Calibri"/>
        </w:rPr>
        <w:t>.</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Любая поправка, предложенная той или иной Стороной, доводится до сведения Европейского комитета по правовому сотрудничеству (ЕКПС), который представляет Комитету министров свое заключение относительно предлагаемой поправки.</w:t>
      </w:r>
    </w:p>
    <w:p w:rsidR="00452185" w:rsidRDefault="00452185">
      <w:pPr>
        <w:widowControl w:val="0"/>
        <w:autoSpaceDE w:val="0"/>
        <w:autoSpaceDN w:val="0"/>
        <w:adjustRightInd w:val="0"/>
        <w:spacing w:after="0" w:line="240" w:lineRule="auto"/>
        <w:ind w:firstLine="540"/>
        <w:jc w:val="both"/>
        <w:rPr>
          <w:rFonts w:ascii="Calibri" w:hAnsi="Calibri" w:cs="Calibri"/>
        </w:rPr>
      </w:pPr>
      <w:bookmarkStart w:id="4" w:name="Par170"/>
      <w:bookmarkEnd w:id="4"/>
      <w:r>
        <w:rPr>
          <w:rFonts w:ascii="Calibri" w:hAnsi="Calibri" w:cs="Calibri"/>
        </w:rPr>
        <w:t>3. Комитет министров рассматривает предлагаемую поправку и заключение, представленное Европейским комитетом по правовому сотрудничеству (ЕКПС) и после консультаций со Сторонами Конвенции, не являющимися членами Совета Европы, может принять эту поправку.</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Текст любой поправки, принятой Комитетом министров в соответствии с пунктом 3 настоящей статьи, препровождается Сторонам для принятия.</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Любая поправка, принятая в соответствии с </w:t>
      </w:r>
      <w:hyperlink w:anchor="Par170" w:history="1">
        <w:r>
          <w:rPr>
            <w:rFonts w:ascii="Calibri" w:hAnsi="Calibri" w:cs="Calibri"/>
            <w:color w:val="0000FF"/>
          </w:rPr>
          <w:t>пунктом 3 настоящей статьи</w:t>
        </w:r>
      </w:hyperlink>
      <w:r>
        <w:rPr>
          <w:rFonts w:ascii="Calibri" w:hAnsi="Calibri" w:cs="Calibri"/>
        </w:rPr>
        <w:t>, вступает в силу на тридцатый день с той даты, когда все Стороны сообщили Генеральному секретарю о ее принятии.</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21</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Урегулирование споров</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Европейский комитет по правовому сотрудничеству (ЕКПС) Совета Европы информируется о толковании и применении настоящей Конвенции.</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правовому сотрудничеству (ЕКПС),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22</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Денонсация</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Такая денонсация вступает в силу в первый день месяца, после истечения трехмесячного периода с даты получения уведомления Генеральным секретарем.</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Статья 23</w:t>
      </w:r>
    </w:p>
    <w:p w:rsidR="00452185" w:rsidRDefault="00452185">
      <w:pPr>
        <w:widowControl w:val="0"/>
        <w:autoSpaceDE w:val="0"/>
        <w:autoSpaceDN w:val="0"/>
        <w:adjustRightInd w:val="0"/>
        <w:spacing w:after="0" w:line="240" w:lineRule="auto"/>
        <w:jc w:val="center"/>
        <w:rPr>
          <w:rFonts w:ascii="Calibri" w:hAnsi="Calibri" w:cs="Calibri"/>
        </w:rPr>
      </w:pPr>
    </w:p>
    <w:p w:rsidR="00452185" w:rsidRDefault="00452185">
      <w:pPr>
        <w:widowControl w:val="0"/>
        <w:autoSpaceDE w:val="0"/>
        <w:autoSpaceDN w:val="0"/>
        <w:adjustRightInd w:val="0"/>
        <w:spacing w:after="0" w:line="240" w:lineRule="auto"/>
        <w:jc w:val="center"/>
        <w:rPr>
          <w:rFonts w:ascii="Calibri" w:hAnsi="Calibri" w:cs="Calibri"/>
        </w:rPr>
      </w:pPr>
      <w:r>
        <w:rPr>
          <w:rFonts w:ascii="Calibri" w:hAnsi="Calibri" w:cs="Calibri"/>
        </w:rPr>
        <w:t>Уведомление</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Генеральный секретарь Совета Европы уведомляет государства - члены Совета, любое другое государство, подписавшее настоящую Конвенцию, и ее Стороны о:</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 любом подписании;</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b. сдаче на хранение любой ратификационной грамоты, документа о принятии, одобрении или присоединении;</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любой дате вступления в силу настоящей Конвенции и соответствии со </w:t>
      </w:r>
      <w:hyperlink w:anchor="Par125" w:history="1">
        <w:r>
          <w:rPr>
            <w:rFonts w:ascii="Calibri" w:hAnsi="Calibri" w:cs="Calibri"/>
            <w:color w:val="0000FF"/>
          </w:rPr>
          <w:t>статьями 15</w:t>
        </w:r>
      </w:hyperlink>
      <w:r>
        <w:rPr>
          <w:rFonts w:ascii="Calibri" w:hAnsi="Calibri" w:cs="Calibri"/>
        </w:rPr>
        <w:t xml:space="preserve"> и </w:t>
      </w:r>
      <w:hyperlink w:anchor="Par135" w:history="1">
        <w:r>
          <w:rPr>
            <w:rFonts w:ascii="Calibri" w:hAnsi="Calibri" w:cs="Calibri"/>
            <w:color w:val="0000FF"/>
          </w:rPr>
          <w:t>16</w:t>
        </w:r>
      </w:hyperlink>
      <w:r>
        <w:rPr>
          <w:rFonts w:ascii="Calibri" w:hAnsi="Calibri" w:cs="Calibri"/>
        </w:rPr>
        <w:t>;</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d. любом ином действии, уведомлении или сообщении, относящимся к настоящей Конвенции.</w:t>
      </w: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удостоверение чего нижеподписавшиеся, должным образом на то уполномоченные, подписали настоящую Конвенцию.</w:t>
      </w:r>
    </w:p>
    <w:p w:rsidR="00452185" w:rsidRDefault="00452185">
      <w:pPr>
        <w:widowControl w:val="0"/>
        <w:autoSpaceDE w:val="0"/>
        <w:autoSpaceDN w:val="0"/>
        <w:adjustRightInd w:val="0"/>
        <w:spacing w:after="0" w:line="240" w:lineRule="auto"/>
        <w:rPr>
          <w:rFonts w:ascii="Calibri" w:hAnsi="Calibri" w:cs="Calibri"/>
        </w:rPr>
      </w:pPr>
    </w:p>
    <w:p w:rsidR="00452185" w:rsidRDefault="0045218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Совершено в Страсбурге 4 ноября 1999 года на </w:t>
      </w:r>
      <w:hyperlink w:anchor="Par207" w:history="1">
        <w:r>
          <w:rPr>
            <w:rFonts w:ascii="Calibri" w:hAnsi="Calibri" w:cs="Calibri"/>
            <w:color w:val="0000FF"/>
          </w:rPr>
          <w:t>английском</w:t>
        </w:r>
      </w:hyperlink>
      <w:r>
        <w:rPr>
          <w:rFonts w:ascii="Calibri" w:hAnsi="Calibri" w:cs="Calibri"/>
        </w:rPr>
        <w:t xml:space="preserve"> и французском языках, причем оба текста имеют одинаковую силу, в одном экземпляре, который сдается на хранение в архив Совета Европы. Генеральный секретарь Совета Европы препровождает заверенные копии Конвенции каждому государству - члену Совета Европы, государствам, не являющимся его членами, которые принимали участие в разработке настоящей Конвенции, Европейскому сообществу и любому другому государству, которому было предложено присоединиться к Конвенции.</w:t>
      </w:r>
    </w:p>
    <w:p w:rsidR="00452185" w:rsidRDefault="00452185">
      <w:pPr>
        <w:widowControl w:val="0"/>
        <w:autoSpaceDE w:val="0"/>
        <w:autoSpaceDN w:val="0"/>
        <w:adjustRightInd w:val="0"/>
        <w:spacing w:after="0" w:line="240" w:lineRule="auto"/>
        <w:rPr>
          <w:rFonts w:ascii="Calibri" w:hAnsi="Calibri" w:cs="Calibri"/>
        </w:rPr>
      </w:pPr>
    </w:p>
    <w:p w:rsidR="00452185" w:rsidRPr="00452185" w:rsidRDefault="00452185">
      <w:pPr>
        <w:widowControl w:val="0"/>
        <w:autoSpaceDE w:val="0"/>
        <w:autoSpaceDN w:val="0"/>
        <w:adjustRightInd w:val="0"/>
        <w:spacing w:after="0" w:line="240" w:lineRule="auto"/>
        <w:jc w:val="right"/>
        <w:rPr>
          <w:rFonts w:ascii="Calibri" w:hAnsi="Calibri" w:cs="Calibri"/>
          <w:lang w:val="en-US"/>
        </w:rPr>
      </w:pPr>
      <w:r w:rsidRPr="00452185">
        <w:rPr>
          <w:rFonts w:ascii="Calibri" w:hAnsi="Calibri" w:cs="Calibri"/>
          <w:lang w:val="en-US"/>
        </w:rPr>
        <w:t>(</w:t>
      </w:r>
      <w:r>
        <w:rPr>
          <w:rFonts w:ascii="Calibri" w:hAnsi="Calibri" w:cs="Calibri"/>
        </w:rPr>
        <w:t>Подписи</w:t>
      </w:r>
      <w:r w:rsidRPr="00452185">
        <w:rPr>
          <w:rFonts w:ascii="Calibri" w:hAnsi="Calibri" w:cs="Calibri"/>
          <w:lang w:val="en-US"/>
        </w:rPr>
        <w:t>)</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0"/>
        <w:rPr>
          <w:rFonts w:ascii="Calibri" w:hAnsi="Calibri" w:cs="Calibri"/>
          <w:b/>
          <w:bCs/>
          <w:lang w:val="en-US"/>
        </w:rPr>
      </w:pPr>
      <w:bookmarkStart w:id="5" w:name="Par207"/>
      <w:bookmarkEnd w:id="5"/>
      <w:r w:rsidRPr="00452185">
        <w:rPr>
          <w:rFonts w:ascii="Calibri" w:hAnsi="Calibri" w:cs="Calibri"/>
          <w:b/>
          <w:bCs/>
          <w:lang w:val="en-US"/>
        </w:rPr>
        <w:t>CIVIL LAW CONVENTION ON CORRUPTION</w:t>
      </w:r>
    </w:p>
    <w:p w:rsidR="00452185" w:rsidRPr="00452185" w:rsidRDefault="00452185">
      <w:pPr>
        <w:widowControl w:val="0"/>
        <w:autoSpaceDE w:val="0"/>
        <w:autoSpaceDN w:val="0"/>
        <w:adjustRightInd w:val="0"/>
        <w:spacing w:after="0" w:line="240" w:lineRule="auto"/>
        <w:jc w:val="center"/>
        <w:rPr>
          <w:rFonts w:ascii="Calibri" w:hAnsi="Calibri" w:cs="Calibri"/>
          <w:b/>
          <w:bCs/>
          <w:lang w:val="en-US"/>
        </w:rPr>
      </w:pPr>
    </w:p>
    <w:p w:rsidR="00452185" w:rsidRPr="00452185" w:rsidRDefault="00452185">
      <w:pPr>
        <w:widowControl w:val="0"/>
        <w:autoSpaceDE w:val="0"/>
        <w:autoSpaceDN w:val="0"/>
        <w:adjustRightInd w:val="0"/>
        <w:spacing w:after="0" w:line="240" w:lineRule="auto"/>
        <w:jc w:val="center"/>
        <w:rPr>
          <w:rFonts w:ascii="Calibri" w:hAnsi="Calibri" w:cs="Calibri"/>
          <w:b/>
          <w:bCs/>
          <w:lang w:val="en-US"/>
        </w:rPr>
      </w:pPr>
      <w:r w:rsidRPr="00452185">
        <w:rPr>
          <w:rFonts w:ascii="Calibri" w:hAnsi="Calibri" w:cs="Calibri"/>
          <w:b/>
          <w:bCs/>
          <w:lang w:val="en-US"/>
        </w:rPr>
        <w:t>(Strasbourg, 4.XI.1999)</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1"/>
        <w:rPr>
          <w:rFonts w:ascii="Calibri" w:hAnsi="Calibri" w:cs="Calibri"/>
          <w:lang w:val="en-US"/>
        </w:rPr>
      </w:pPr>
      <w:r w:rsidRPr="00452185">
        <w:rPr>
          <w:rFonts w:ascii="Calibri" w:hAnsi="Calibri" w:cs="Calibri"/>
          <w:lang w:val="en-US"/>
        </w:rPr>
        <w:t>Preamble</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The member States of the Council of Europe, the other States and the European Community, signatories hereto,</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Considering that the aim of the Council of Europe is to achieve a greater unity between its members;</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Conscious of the importance of strengthening international co-operation in the fight against corruption;</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Emphasising that corruption represents a major threat to the rule of law, democracy and human rights, fairness and social justice, hinders economic development and endangers the proper and fair functioning of market economies;</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Recognising the adverse financial consequences of corruption to individuals, companies and States, as well as international institutions;</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Convinced of the importance for civil law to contribute to the fight against corruption, in particular by enabling persons who have suffered damage to receive fair compensation;</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Recalling the conclusions and resolutions of the 19th (Malta, 1994), 21st (Czech Republic, 1997) and 22nd (Moldova, 1999) Conferences of the European Ministers of Justice;</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Taking into account the Programme of Action against Corruption adopted by the Committee of Ministers in November 1996;</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Taking also into account the feasibility study on the drawing up of a convention on civil remedies for compensation for damage resulting from acts of corruption, approved by the Committee of Ministers in February 1997;</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Having regard to Resolution (97) 24 on the 20 Guiding Principles for the Fight against Corruption, adopted by the Committee of Ministers in November 1997, at its 101st Session, to Resolution (98) 7 authorising the adoption of the Partial and Enlarged Agreement establishing the "Group of States against Corruption (GRECO)", adopted by the Committee of Ministers in May 1998, at its 102nd Session, and to Resolution (99) 5 establishing the GRECO, adopted on 1st May 1999;</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Recalling the Final Declaration and the Action Plan adopted by the Heads of State and Government of the member States of the Council of Europe at their 2nd summit in Strasbourg, in October 1997,</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Have agreed as follows:</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1"/>
        <w:rPr>
          <w:rFonts w:ascii="Calibri" w:hAnsi="Calibri" w:cs="Calibri"/>
          <w:lang w:val="en-US"/>
        </w:rPr>
      </w:pPr>
      <w:r w:rsidRPr="00452185">
        <w:rPr>
          <w:rFonts w:ascii="Calibri" w:hAnsi="Calibri" w:cs="Calibri"/>
          <w:lang w:val="en-US"/>
        </w:rPr>
        <w:t>Chapter I. MEASURES TO BE TAKEN AT NATIONAL LEVEL</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1</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Purpose</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Each Party shall provide in its internal law for effective remedies for persons who have suffered damage as a result of acts of corruption, to enable them to defend their rights and interests, including the possibility of obtaining compensation for damage.</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2</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Definition of corruption</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For the purpose of this Convention, "corruption" means requesting, offering, giving or accepting, directly or indirectly, a bribe or any other undue advantage or prospect thereof, which distorts the proper performance of any duty or behaviour required of the recipient of the bribe, the undue advantage or the prospect thereof.</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3</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Compensation for damage</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1. Each Party shall provide in its internal law for persons who have suffered damage as a result of corruption to have the right to initiate an action in order to obtain full compensation for such damage.</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2. Such compensation may cover material damage, loss of profits and non-pecuniary loss.</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4</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Liability</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1. Each Party shall provide in its internal law for the following conditions to be fulfilled in order for the damage to be compensated:</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i. the defendant has committed or authorised the act of corruption, or failed to take reasonable steps to prevent the act of corruption;</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ii. the plaintiff has suffered damage; and</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iii. there is a causal link between the act of corruption and the damage.</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2. Each Party shall provide in its internal law that, if several defendants are liable for damage for the same corrupt activity, they shall be jointly and severally liable.</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5</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State responsibility</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Each Party shall provide in its internal law for appropriate procedures for persons who have suffered damage as a result of an act of corruption by its public officials in the exercise of their functions to claim for compensation from the State or, in the case of a non-state Party, from that Party's appropriate authorities.</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6</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Contributory negligence</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Each Party shall provide in its internal law for the compensation to be reduced or disallowed having regard to all the circumstances, if the plaintiff has by his or her own fault contributed to the damage or to its aggravation.</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7</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Limitation periods</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1. Each Party shall provide in its internal law for proceedings for the recovery of damages to be subject to a limitation period of not less than three years from the day the person who has suffered damage became aware or should reasonably have been aware, that damage has occurred or that an act of corruption has taken place, and of the identity of the responsible person. However, such proceedings shall not be commenced after the end of a limitation period of not less than ten years from the date of the act of corruption.</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2. The laws of the Parties regulating suspension or interruption of limitation periods shall, if appropriate, apply to the periods prescribed in paragraph 1.</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8</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Validity of contracts</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1. Each Party shall provide in its internal law for any contract or clause of a contract providing for corruption to be null and void.</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2. Each Party shall provide in its internal law for the possibility for all parties to a contract whose consent has been undermined by an act of corruption to be able to apply to the court for the contract to be declared void, notwithstanding their right to claim for damages.</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9</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Protection of employees</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Each Party shall provide in its internal law for appropriate protection against any unjustified sanction for employees who have reasonable grounds to suspect corruption and who report in good faith their suspicion to responsible persons or authorities.</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10</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Accounts and audits</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1. Each Party shall, in its internal law, take any necessary measures for the annual accounts of companies to be drawn up clearly and give a true and fair view of the company's financial position.</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2. With a view to preventing acts of corruption, each Party shall provide in its internal law for auditors to confirm that the annual accounts present a true and fair view of the company's financial position.</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11</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Acquisition of evidence</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Each Party shall provide in its internal law for effective procedures for the acquisition of evidence in civil proceedings arising from an act of corruption.</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12</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Interim measures</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Each Party shall provide in its internal law for such court orders as are necessary to preserve the rights and interests of the parties during civil proceedings arising from an act of corruption.</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1"/>
        <w:rPr>
          <w:rFonts w:ascii="Calibri" w:hAnsi="Calibri" w:cs="Calibri"/>
          <w:lang w:val="en-US"/>
        </w:rPr>
      </w:pPr>
      <w:r w:rsidRPr="00452185">
        <w:rPr>
          <w:rFonts w:ascii="Calibri" w:hAnsi="Calibri" w:cs="Calibri"/>
          <w:lang w:val="en-US"/>
        </w:rPr>
        <w:t>Chapter II. INTERNATIONAL CO-OPERATION AND MONITORING OF</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IMPLEMENTATION</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13</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International co-operation</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The Parties shall co-operate effectively in matters relating to civil proceedings in cases of corruption, especially concerning the service of documents, obtaining evidence abroad, jurisdiction, recognition and enforcement of foreign judgements and litigation costs, in accordance with the provisions of relevant international instruments on international co-operation in civil and commercial matters to which they are Party, as well as with their internal law.</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14</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Monitoring</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The Group of States against Corruption (GRECO) shall monitor the implementation of this Convention by the Parties.</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1"/>
        <w:rPr>
          <w:rFonts w:ascii="Calibri" w:hAnsi="Calibri" w:cs="Calibri"/>
          <w:lang w:val="en-US"/>
        </w:rPr>
      </w:pPr>
      <w:r w:rsidRPr="00452185">
        <w:rPr>
          <w:rFonts w:ascii="Calibri" w:hAnsi="Calibri" w:cs="Calibri"/>
          <w:lang w:val="en-US"/>
        </w:rPr>
        <w:t>Chapter III. FINAL CLAUSES</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15</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Signature and entry into force</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1. This Convention shall be open for signature by the member States of the Council of Europe, by non-member States that have participated in its elaboration and by the European Community.</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2. This Convention is subject to ratification, acceptance or approval. Instruments of ratification, acceptance or approval shall be deposited with the Secretary General of the Council of Europe.</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3. This Convention shall enter into force on the first day of the month following the expiration of a period of three months after the date on which fourteen signatories have expressed their consent to be bound by the Convention in accordance with the provisions of paragraph 2. Any such signatory, which is not a member of the Group of States against Corruption (GRECO) at the time of ratification, acceptance or approval, shall automatically become a member on the date the Convention enters into force.</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4. In respect of any signatory which subsequently expresses its consent to be bound by it, the Convention shall enter into force on the first day of the month following the expiration of a period of three months after the date of the expression of their consent to be bound by the Convention in accordance with the provisions of paragraph 2. Any signatory, which is not a member of the Group of States against Corruption (GRECO) at the time of ratification, acceptance or approval, shall automatically become a member on the date the Convention enters into force in its respect.</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5. Any particular modalities for the participation of the European Community in the Group of States against Corruption (GRECO) shall be determined as far as necessary by a common agreement with the European Community.</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16</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Accession to the Convention</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1. After the entry into force of this Convention, the Committee of Ministers of the Council of Europe, after consulting the Parties to the Convention, may invite any State not a member of the Council and not having participated in its elaboration to accede to this Convention, by a decision taken by the majority provided for in Article 20.d. of the Statute of the Council of Europe and by the unanimous vote of the representatives of the Parties entitled to sit on the Committee.</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2. In respect of any State acceding to it, the Convention shall enter into force on the first day of the month following the expiration of a period of three months after the date of deposit of the instrument of accession with the Secretary General of the Council of Europe. Any State acceding to this Convention shall automatically become a member of the GRECO, if it is not already a member at the time of accession, on the date the Convention enters into force in its respect.</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17</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Reservations</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No reservation may be made in respect of any provision of this Convention.</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18</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Territorial application</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1. Any State or the European Community may, at the time of signature or when depositing its instrument of ratification, acceptance, approval or accession, specify the territory or territories to which this Convention shall apply.</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2. Any Party may, at any later date, by a declaration addressed to the Secretary General of the Council of Europe, extend the application of this Convention to any other territory specified in the declaration. In respect of such territory the Convention shall enter into force on the first day of the month following the expiration of a period of three months after the date of receipt of such declaration by the Secretary General.</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3. Any declaration made under the two preceding paragraphs may, in respect of any territory specified in such declaration, be withdrawn by a notification addressed to the Secretary General. The withdrawal shall become effective on the first day of the month following the expiration of a period of three months after the date of receipt of such notification by the Secretary General.</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19</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Relationship to other instruments and agreements</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1. This Convention does not affect the rights and undertakings derived from international multilateral instruments concerning special matters.</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2. The Parties to the Convention may conclude bilateral or multilateral agreements with one another on the matters dealt with in this Convention, for purposes of supplementing or strengthening its provisions or facilitating the application of the principles embodied in it or, without prejudice to the objectives and principles of this Convention, submit themselves to rules on this matter within the framework of a special system which is binding at the moment of the opening for signature of this Convention.</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3. If two or more Parties have already concluded an agreement or treaty in respect of a subject which is dealt with in this Convention or otherwise have established their relations in respect of that subject, they shall be entitled to apply that agreement or treaty or to regulate these relations accordingly, in lieu of the present Convention.</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20</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Amendments</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1. Amendments to this Convention may be proposed by any Party, and shall be communicated by the Secretary General of the Council of Europe to the member States of the Council of Europe, to the non member States which have participated in the elaboration of this Convention, to the European Community, as well as to any State which has acceded to or has been invited to accede to this Convention in accordance with the provisions of Article 16.</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2. Any amendment proposed by a Party shall be communicated to the European Committee on Legal Co-operation (CDCJ) which shall submit to the Committee of Ministers its opinion on that proposed amendment.</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3. The Committee of Ministers shall consider the proposed amendment and the opinion submitted by the European Committee on Legal Co-operation (CDCJ) and, following consultation of the Parties to the Convention which are not members of the Council of Europe, may adopt the amendment.</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4. The text of any amendment adopted by the Committee of Ministers in accordance with paragraph 3 of this article shall be forwarded to the Parties for acceptance.</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5. Any amendment adopted in accordance with paragraph 3 of this article shall come into force on the thirtieth day after all Parties have informed the Secretary General of their acceptance thereof.</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21</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Settlement of disputes</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1. The European Committee on Legal Co-operation (CDCJ) of the Council of Europe shall be kept informed regarding the interpretation and application of this Convention.</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2. In case of a dispute between Parties as to the interpretation or application of this Convention, they shall seek a settlement of the dispute through negotiation or any other peaceful means of their choice, including submission of the dispute to the European Committee on Legal Co-operation (CDCJ), to an arbitral tribunal whose decisions shall be binding upon the Parties, or to the International Court of Justice, as agreed upon by the Parties concerned.</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22</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Denunciation</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1. Any Party may, at any time, denounce this Convention by means of a notification addressed to the Secretary General of the Council of Europe.</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2. Such denunciation shall become effective on the first day of the month following the expiration of a period of three months after the date of receipt of the notification by the Secretary General.</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jc w:val="center"/>
        <w:outlineLvl w:val="2"/>
        <w:rPr>
          <w:rFonts w:ascii="Calibri" w:hAnsi="Calibri" w:cs="Calibri"/>
          <w:lang w:val="en-US"/>
        </w:rPr>
      </w:pPr>
      <w:r w:rsidRPr="00452185">
        <w:rPr>
          <w:rFonts w:ascii="Calibri" w:hAnsi="Calibri" w:cs="Calibri"/>
          <w:lang w:val="en-US"/>
        </w:rPr>
        <w:t>Article 23</w:t>
      </w: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p>
    <w:p w:rsidR="00452185" w:rsidRPr="00452185" w:rsidRDefault="00452185">
      <w:pPr>
        <w:widowControl w:val="0"/>
        <w:autoSpaceDE w:val="0"/>
        <w:autoSpaceDN w:val="0"/>
        <w:adjustRightInd w:val="0"/>
        <w:spacing w:after="0" w:line="240" w:lineRule="auto"/>
        <w:jc w:val="center"/>
        <w:rPr>
          <w:rFonts w:ascii="Calibri" w:hAnsi="Calibri" w:cs="Calibri"/>
          <w:lang w:val="en-US"/>
        </w:rPr>
      </w:pPr>
      <w:r w:rsidRPr="00452185">
        <w:rPr>
          <w:rFonts w:ascii="Calibri" w:hAnsi="Calibri" w:cs="Calibri"/>
          <w:lang w:val="en-US"/>
        </w:rPr>
        <w:t>Notification</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The Secretary General of the Council of Europe shall notify the member States of the Council and any other signatories and Parties to this Convention of:</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a. any signature;</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b. the deposit of any instrument of ratification, acceptance, approval or accession;</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c. any date of entry into force of this Convention, in accordance with Articles 15 and 16;</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d. any other act, notification or communication relating to this Convention.</w:t>
      </w: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 xml:space="preserve">In witness whereof the undersigned, being duly </w:t>
      </w:r>
      <w:proofErr w:type="spellStart"/>
      <w:r w:rsidRPr="00452185">
        <w:rPr>
          <w:rFonts w:ascii="Calibri" w:hAnsi="Calibri" w:cs="Calibri"/>
          <w:lang w:val="en-US"/>
        </w:rPr>
        <w:t>authorised</w:t>
      </w:r>
      <w:proofErr w:type="spellEnd"/>
      <w:r w:rsidRPr="00452185">
        <w:rPr>
          <w:rFonts w:ascii="Calibri" w:hAnsi="Calibri" w:cs="Calibri"/>
          <w:lang w:val="en-US"/>
        </w:rPr>
        <w:t xml:space="preserve"> thereto, have signed this Convention.</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ind w:firstLine="540"/>
        <w:jc w:val="both"/>
        <w:rPr>
          <w:rFonts w:ascii="Calibri" w:hAnsi="Calibri" w:cs="Calibri"/>
          <w:lang w:val="en-US"/>
        </w:rPr>
      </w:pPr>
      <w:r w:rsidRPr="00452185">
        <w:rPr>
          <w:rFonts w:ascii="Calibri" w:hAnsi="Calibri" w:cs="Calibri"/>
          <w:lang w:val="en-US"/>
        </w:rPr>
        <w:t>Done at Strasbourg, the 4th day of November 1999, in English and in French, both texts being equally authentic, in a single copy which shall be deposited in the archives of the Council of Europe. The Secretary General of the Council of Europe shall transmit certified copies to each member State of the Council of Europe, to the non-member States which have participated in the elaboration of this Convention, to the European Community, as well as to any State invited to accede to it.</w:t>
      </w: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autoSpaceDE w:val="0"/>
        <w:autoSpaceDN w:val="0"/>
        <w:adjustRightInd w:val="0"/>
        <w:spacing w:after="0" w:line="240" w:lineRule="auto"/>
        <w:rPr>
          <w:rFonts w:ascii="Calibri" w:hAnsi="Calibri" w:cs="Calibri"/>
          <w:lang w:val="en-US"/>
        </w:rPr>
      </w:pPr>
    </w:p>
    <w:p w:rsidR="00452185" w:rsidRPr="00452185" w:rsidRDefault="00452185">
      <w:pPr>
        <w:widowControl w:val="0"/>
        <w:pBdr>
          <w:bottom w:val="single" w:sz="6" w:space="0" w:color="auto"/>
        </w:pBdr>
        <w:autoSpaceDE w:val="0"/>
        <w:autoSpaceDN w:val="0"/>
        <w:adjustRightInd w:val="0"/>
        <w:spacing w:after="0" w:line="240" w:lineRule="auto"/>
        <w:rPr>
          <w:rFonts w:ascii="Calibri" w:hAnsi="Calibri" w:cs="Calibri"/>
          <w:sz w:val="5"/>
          <w:szCs w:val="5"/>
          <w:lang w:val="en-US"/>
        </w:rPr>
      </w:pPr>
    </w:p>
    <w:p w:rsidR="00025BEF" w:rsidRPr="00452185" w:rsidRDefault="00025BEF">
      <w:pPr>
        <w:rPr>
          <w:lang w:val="en-US"/>
        </w:rPr>
      </w:pPr>
      <w:bookmarkStart w:id="6" w:name="_GoBack"/>
      <w:bookmarkEnd w:id="6"/>
    </w:p>
    <w:sectPr w:rsidR="00025BEF" w:rsidRPr="00452185" w:rsidSect="006D7F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52185"/>
    <w:rsid w:val="0000265C"/>
    <w:rsid w:val="00011348"/>
    <w:rsid w:val="00011B58"/>
    <w:rsid w:val="00013005"/>
    <w:rsid w:val="0001447B"/>
    <w:rsid w:val="00014F51"/>
    <w:rsid w:val="000150F2"/>
    <w:rsid w:val="00016539"/>
    <w:rsid w:val="00020F38"/>
    <w:rsid w:val="000211E1"/>
    <w:rsid w:val="000219CD"/>
    <w:rsid w:val="00024C62"/>
    <w:rsid w:val="00025BEF"/>
    <w:rsid w:val="00027182"/>
    <w:rsid w:val="00027347"/>
    <w:rsid w:val="000278AF"/>
    <w:rsid w:val="00031218"/>
    <w:rsid w:val="000322AB"/>
    <w:rsid w:val="0004009F"/>
    <w:rsid w:val="00043E1E"/>
    <w:rsid w:val="00050576"/>
    <w:rsid w:val="00052249"/>
    <w:rsid w:val="000568F9"/>
    <w:rsid w:val="00056D08"/>
    <w:rsid w:val="00057F50"/>
    <w:rsid w:val="00062069"/>
    <w:rsid w:val="000640A7"/>
    <w:rsid w:val="000657C5"/>
    <w:rsid w:val="000676CF"/>
    <w:rsid w:val="00070502"/>
    <w:rsid w:val="00070DBF"/>
    <w:rsid w:val="000713F8"/>
    <w:rsid w:val="00076471"/>
    <w:rsid w:val="000772D2"/>
    <w:rsid w:val="00080EF3"/>
    <w:rsid w:val="00084F07"/>
    <w:rsid w:val="00085E38"/>
    <w:rsid w:val="00096340"/>
    <w:rsid w:val="000966C5"/>
    <w:rsid w:val="00096C14"/>
    <w:rsid w:val="000A0393"/>
    <w:rsid w:val="000A15B3"/>
    <w:rsid w:val="000A7FF2"/>
    <w:rsid w:val="000B08C8"/>
    <w:rsid w:val="000B48E6"/>
    <w:rsid w:val="000B5DF7"/>
    <w:rsid w:val="000B6099"/>
    <w:rsid w:val="000B7DF0"/>
    <w:rsid w:val="000C2053"/>
    <w:rsid w:val="000C6848"/>
    <w:rsid w:val="000D19A0"/>
    <w:rsid w:val="000D2FE7"/>
    <w:rsid w:val="000D429F"/>
    <w:rsid w:val="000D7A99"/>
    <w:rsid w:val="000E0108"/>
    <w:rsid w:val="000E05DB"/>
    <w:rsid w:val="000E087D"/>
    <w:rsid w:val="000E3C22"/>
    <w:rsid w:val="000E3D8A"/>
    <w:rsid w:val="000E4544"/>
    <w:rsid w:val="000E4DEF"/>
    <w:rsid w:val="000E599A"/>
    <w:rsid w:val="000E6A8A"/>
    <w:rsid w:val="000F324C"/>
    <w:rsid w:val="000F46C2"/>
    <w:rsid w:val="00100AF1"/>
    <w:rsid w:val="001011CF"/>
    <w:rsid w:val="00105343"/>
    <w:rsid w:val="00105953"/>
    <w:rsid w:val="00111BD9"/>
    <w:rsid w:val="00111C95"/>
    <w:rsid w:val="00112B6D"/>
    <w:rsid w:val="0011338C"/>
    <w:rsid w:val="00113BF3"/>
    <w:rsid w:val="00116E11"/>
    <w:rsid w:val="00122D09"/>
    <w:rsid w:val="0012365E"/>
    <w:rsid w:val="00124349"/>
    <w:rsid w:val="001267AF"/>
    <w:rsid w:val="0013327E"/>
    <w:rsid w:val="001365D5"/>
    <w:rsid w:val="00136CAB"/>
    <w:rsid w:val="0013728B"/>
    <w:rsid w:val="00144D2F"/>
    <w:rsid w:val="0014622C"/>
    <w:rsid w:val="001467FF"/>
    <w:rsid w:val="001476E3"/>
    <w:rsid w:val="0015001E"/>
    <w:rsid w:val="00155EE3"/>
    <w:rsid w:val="00160948"/>
    <w:rsid w:val="00163391"/>
    <w:rsid w:val="00163E5C"/>
    <w:rsid w:val="00171398"/>
    <w:rsid w:val="00172971"/>
    <w:rsid w:val="001735B1"/>
    <w:rsid w:val="0017604F"/>
    <w:rsid w:val="001816F1"/>
    <w:rsid w:val="00182BEB"/>
    <w:rsid w:val="00193700"/>
    <w:rsid w:val="00193EF6"/>
    <w:rsid w:val="0019436F"/>
    <w:rsid w:val="0019528A"/>
    <w:rsid w:val="001963FA"/>
    <w:rsid w:val="001A58BD"/>
    <w:rsid w:val="001A59D8"/>
    <w:rsid w:val="001A7323"/>
    <w:rsid w:val="001B6BD9"/>
    <w:rsid w:val="001C1FF3"/>
    <w:rsid w:val="001C263A"/>
    <w:rsid w:val="001C702F"/>
    <w:rsid w:val="001D786E"/>
    <w:rsid w:val="001E47E0"/>
    <w:rsid w:val="001E4FDD"/>
    <w:rsid w:val="001E5B19"/>
    <w:rsid w:val="001E74B0"/>
    <w:rsid w:val="001E7BA2"/>
    <w:rsid w:val="001F0B68"/>
    <w:rsid w:val="001F1391"/>
    <w:rsid w:val="001F2CEE"/>
    <w:rsid w:val="001F3927"/>
    <w:rsid w:val="001F66DC"/>
    <w:rsid w:val="001F733C"/>
    <w:rsid w:val="00200263"/>
    <w:rsid w:val="00203244"/>
    <w:rsid w:val="00203B05"/>
    <w:rsid w:val="00205B41"/>
    <w:rsid w:val="00210331"/>
    <w:rsid w:val="00211106"/>
    <w:rsid w:val="00212602"/>
    <w:rsid w:val="0021665B"/>
    <w:rsid w:val="00217385"/>
    <w:rsid w:val="002173C6"/>
    <w:rsid w:val="00217410"/>
    <w:rsid w:val="00222E8B"/>
    <w:rsid w:val="002231F2"/>
    <w:rsid w:val="00224C5A"/>
    <w:rsid w:val="00227840"/>
    <w:rsid w:val="002304B6"/>
    <w:rsid w:val="002324A7"/>
    <w:rsid w:val="0023429E"/>
    <w:rsid w:val="0023591B"/>
    <w:rsid w:val="002359B0"/>
    <w:rsid w:val="002363C7"/>
    <w:rsid w:val="00250FE8"/>
    <w:rsid w:val="00253C92"/>
    <w:rsid w:val="0025420F"/>
    <w:rsid w:val="00254B5C"/>
    <w:rsid w:val="00257E7F"/>
    <w:rsid w:val="00261077"/>
    <w:rsid w:val="002651DA"/>
    <w:rsid w:val="00265C64"/>
    <w:rsid w:val="00267CAD"/>
    <w:rsid w:val="00272991"/>
    <w:rsid w:val="002748A1"/>
    <w:rsid w:val="00274BFA"/>
    <w:rsid w:val="00282D05"/>
    <w:rsid w:val="00290BA1"/>
    <w:rsid w:val="00290E06"/>
    <w:rsid w:val="00290F8B"/>
    <w:rsid w:val="002920F2"/>
    <w:rsid w:val="002948BC"/>
    <w:rsid w:val="002A3FDE"/>
    <w:rsid w:val="002A529E"/>
    <w:rsid w:val="002A52C8"/>
    <w:rsid w:val="002A7ADB"/>
    <w:rsid w:val="002B08E2"/>
    <w:rsid w:val="002B3B0D"/>
    <w:rsid w:val="002C217D"/>
    <w:rsid w:val="002C46F9"/>
    <w:rsid w:val="002C5486"/>
    <w:rsid w:val="002C54C4"/>
    <w:rsid w:val="002D0817"/>
    <w:rsid w:val="002D7429"/>
    <w:rsid w:val="002E005A"/>
    <w:rsid w:val="002E04A6"/>
    <w:rsid w:val="002E1A3B"/>
    <w:rsid w:val="002E1E27"/>
    <w:rsid w:val="002E63A0"/>
    <w:rsid w:val="002E6D14"/>
    <w:rsid w:val="002E7869"/>
    <w:rsid w:val="002E78BF"/>
    <w:rsid w:val="002F1464"/>
    <w:rsid w:val="002F3767"/>
    <w:rsid w:val="002F6920"/>
    <w:rsid w:val="002F72CB"/>
    <w:rsid w:val="00304998"/>
    <w:rsid w:val="00312EAF"/>
    <w:rsid w:val="00313D66"/>
    <w:rsid w:val="0032017B"/>
    <w:rsid w:val="003240D2"/>
    <w:rsid w:val="00325813"/>
    <w:rsid w:val="003327C4"/>
    <w:rsid w:val="00332E3E"/>
    <w:rsid w:val="0033507C"/>
    <w:rsid w:val="00340B67"/>
    <w:rsid w:val="00340F02"/>
    <w:rsid w:val="00342285"/>
    <w:rsid w:val="0034306F"/>
    <w:rsid w:val="00344202"/>
    <w:rsid w:val="0034542A"/>
    <w:rsid w:val="00347853"/>
    <w:rsid w:val="00347BED"/>
    <w:rsid w:val="00353541"/>
    <w:rsid w:val="00360B6F"/>
    <w:rsid w:val="00360F4D"/>
    <w:rsid w:val="0036104C"/>
    <w:rsid w:val="00361154"/>
    <w:rsid w:val="00364EA8"/>
    <w:rsid w:val="00365D1F"/>
    <w:rsid w:val="00365EA1"/>
    <w:rsid w:val="00367482"/>
    <w:rsid w:val="00370799"/>
    <w:rsid w:val="00370B41"/>
    <w:rsid w:val="00380CC0"/>
    <w:rsid w:val="00394619"/>
    <w:rsid w:val="00396749"/>
    <w:rsid w:val="0039687E"/>
    <w:rsid w:val="00397915"/>
    <w:rsid w:val="003A1243"/>
    <w:rsid w:val="003A1FA4"/>
    <w:rsid w:val="003A56D8"/>
    <w:rsid w:val="003B386E"/>
    <w:rsid w:val="003B6252"/>
    <w:rsid w:val="003C1281"/>
    <w:rsid w:val="003C1F42"/>
    <w:rsid w:val="003C2A0F"/>
    <w:rsid w:val="003C2F4E"/>
    <w:rsid w:val="003C3F06"/>
    <w:rsid w:val="003C4AD1"/>
    <w:rsid w:val="003C4F2B"/>
    <w:rsid w:val="003C6915"/>
    <w:rsid w:val="003D24B3"/>
    <w:rsid w:val="003D25E2"/>
    <w:rsid w:val="003D3026"/>
    <w:rsid w:val="003D407D"/>
    <w:rsid w:val="003D5492"/>
    <w:rsid w:val="003D74E1"/>
    <w:rsid w:val="003E2F32"/>
    <w:rsid w:val="003E3538"/>
    <w:rsid w:val="003F30B8"/>
    <w:rsid w:val="003F335E"/>
    <w:rsid w:val="00400BAC"/>
    <w:rsid w:val="004031F7"/>
    <w:rsid w:val="00403536"/>
    <w:rsid w:val="0040511E"/>
    <w:rsid w:val="00405129"/>
    <w:rsid w:val="00406454"/>
    <w:rsid w:val="00410046"/>
    <w:rsid w:val="0041072F"/>
    <w:rsid w:val="00412983"/>
    <w:rsid w:val="004153C8"/>
    <w:rsid w:val="00417664"/>
    <w:rsid w:val="00420341"/>
    <w:rsid w:val="004232F7"/>
    <w:rsid w:val="00424FBA"/>
    <w:rsid w:val="00425FC8"/>
    <w:rsid w:val="004277E0"/>
    <w:rsid w:val="00427C68"/>
    <w:rsid w:val="0043070B"/>
    <w:rsid w:val="0043132B"/>
    <w:rsid w:val="0043187D"/>
    <w:rsid w:val="0043193A"/>
    <w:rsid w:val="004347A9"/>
    <w:rsid w:val="004361EE"/>
    <w:rsid w:val="0043719D"/>
    <w:rsid w:val="00444936"/>
    <w:rsid w:val="0044626D"/>
    <w:rsid w:val="00447A67"/>
    <w:rsid w:val="00451401"/>
    <w:rsid w:val="00452185"/>
    <w:rsid w:val="00462A21"/>
    <w:rsid w:val="004641C3"/>
    <w:rsid w:val="00466028"/>
    <w:rsid w:val="00471623"/>
    <w:rsid w:val="0047209C"/>
    <w:rsid w:val="00482ED9"/>
    <w:rsid w:val="00483ABC"/>
    <w:rsid w:val="00484610"/>
    <w:rsid w:val="00486D98"/>
    <w:rsid w:val="00487DFA"/>
    <w:rsid w:val="0049308C"/>
    <w:rsid w:val="00493154"/>
    <w:rsid w:val="00493401"/>
    <w:rsid w:val="00493958"/>
    <w:rsid w:val="0049613A"/>
    <w:rsid w:val="00497A3E"/>
    <w:rsid w:val="004A33DA"/>
    <w:rsid w:val="004A4602"/>
    <w:rsid w:val="004A6DEF"/>
    <w:rsid w:val="004B55BA"/>
    <w:rsid w:val="004B5CDD"/>
    <w:rsid w:val="004B7C03"/>
    <w:rsid w:val="004B7E34"/>
    <w:rsid w:val="004C0514"/>
    <w:rsid w:val="004C2E86"/>
    <w:rsid w:val="004C3257"/>
    <w:rsid w:val="004C3EE4"/>
    <w:rsid w:val="004C427A"/>
    <w:rsid w:val="004C4F46"/>
    <w:rsid w:val="004C6D7C"/>
    <w:rsid w:val="004D5429"/>
    <w:rsid w:val="004D7CD3"/>
    <w:rsid w:val="004E0C95"/>
    <w:rsid w:val="004E1808"/>
    <w:rsid w:val="004E49C0"/>
    <w:rsid w:val="004E4B37"/>
    <w:rsid w:val="004F2823"/>
    <w:rsid w:val="004F4143"/>
    <w:rsid w:val="004F5F04"/>
    <w:rsid w:val="005106CD"/>
    <w:rsid w:val="005110F0"/>
    <w:rsid w:val="00514518"/>
    <w:rsid w:val="005167EB"/>
    <w:rsid w:val="00517C56"/>
    <w:rsid w:val="0052020F"/>
    <w:rsid w:val="00522627"/>
    <w:rsid w:val="00534B90"/>
    <w:rsid w:val="00536261"/>
    <w:rsid w:val="00551FD5"/>
    <w:rsid w:val="00552793"/>
    <w:rsid w:val="00553BFE"/>
    <w:rsid w:val="0055503B"/>
    <w:rsid w:val="00556AC1"/>
    <w:rsid w:val="00572895"/>
    <w:rsid w:val="00573435"/>
    <w:rsid w:val="00574818"/>
    <w:rsid w:val="005766AF"/>
    <w:rsid w:val="00580232"/>
    <w:rsid w:val="0058135F"/>
    <w:rsid w:val="00584619"/>
    <w:rsid w:val="00585F78"/>
    <w:rsid w:val="0058617D"/>
    <w:rsid w:val="00587128"/>
    <w:rsid w:val="00590E15"/>
    <w:rsid w:val="005918EE"/>
    <w:rsid w:val="00593728"/>
    <w:rsid w:val="005937AD"/>
    <w:rsid w:val="0059540C"/>
    <w:rsid w:val="005A0E6C"/>
    <w:rsid w:val="005A17E2"/>
    <w:rsid w:val="005A1A6F"/>
    <w:rsid w:val="005A4DA3"/>
    <w:rsid w:val="005A6670"/>
    <w:rsid w:val="005A72B5"/>
    <w:rsid w:val="005B0DBF"/>
    <w:rsid w:val="005B57B6"/>
    <w:rsid w:val="005B59AC"/>
    <w:rsid w:val="005B5EDF"/>
    <w:rsid w:val="005B77E1"/>
    <w:rsid w:val="005C2E56"/>
    <w:rsid w:val="005C34A5"/>
    <w:rsid w:val="005C50F9"/>
    <w:rsid w:val="005C564B"/>
    <w:rsid w:val="005C6CF9"/>
    <w:rsid w:val="005D04AA"/>
    <w:rsid w:val="005D0FB4"/>
    <w:rsid w:val="005D1688"/>
    <w:rsid w:val="005D583A"/>
    <w:rsid w:val="005D58D8"/>
    <w:rsid w:val="005D5F85"/>
    <w:rsid w:val="005D5F89"/>
    <w:rsid w:val="005D65C5"/>
    <w:rsid w:val="005E05D3"/>
    <w:rsid w:val="005E194B"/>
    <w:rsid w:val="005E70B0"/>
    <w:rsid w:val="005E78B5"/>
    <w:rsid w:val="005F38B8"/>
    <w:rsid w:val="005F4E01"/>
    <w:rsid w:val="005F7081"/>
    <w:rsid w:val="005F7592"/>
    <w:rsid w:val="00600046"/>
    <w:rsid w:val="00600F6A"/>
    <w:rsid w:val="00601570"/>
    <w:rsid w:val="00601866"/>
    <w:rsid w:val="00602591"/>
    <w:rsid w:val="00602B23"/>
    <w:rsid w:val="0060405C"/>
    <w:rsid w:val="00611263"/>
    <w:rsid w:val="0061188E"/>
    <w:rsid w:val="00611E94"/>
    <w:rsid w:val="0061404B"/>
    <w:rsid w:val="00616F92"/>
    <w:rsid w:val="00620BB2"/>
    <w:rsid w:val="00624597"/>
    <w:rsid w:val="00625316"/>
    <w:rsid w:val="00631787"/>
    <w:rsid w:val="00632B2A"/>
    <w:rsid w:val="006335CD"/>
    <w:rsid w:val="006428E5"/>
    <w:rsid w:val="0064553C"/>
    <w:rsid w:val="00653667"/>
    <w:rsid w:val="00654B2A"/>
    <w:rsid w:val="0065753E"/>
    <w:rsid w:val="00661BF6"/>
    <w:rsid w:val="006636EB"/>
    <w:rsid w:val="00664202"/>
    <w:rsid w:val="00664574"/>
    <w:rsid w:val="006732F0"/>
    <w:rsid w:val="00677589"/>
    <w:rsid w:val="00677645"/>
    <w:rsid w:val="0068166D"/>
    <w:rsid w:val="00684136"/>
    <w:rsid w:val="0068734B"/>
    <w:rsid w:val="006901B3"/>
    <w:rsid w:val="00691B66"/>
    <w:rsid w:val="0069217C"/>
    <w:rsid w:val="00694528"/>
    <w:rsid w:val="006975CB"/>
    <w:rsid w:val="006A3671"/>
    <w:rsid w:val="006A3A89"/>
    <w:rsid w:val="006A3AE6"/>
    <w:rsid w:val="006B0117"/>
    <w:rsid w:val="006B0551"/>
    <w:rsid w:val="006B1CC9"/>
    <w:rsid w:val="006B3243"/>
    <w:rsid w:val="006B5BD8"/>
    <w:rsid w:val="006B7F0C"/>
    <w:rsid w:val="006C3406"/>
    <w:rsid w:val="006C42C2"/>
    <w:rsid w:val="006D40F6"/>
    <w:rsid w:val="006D4CCA"/>
    <w:rsid w:val="006D61C5"/>
    <w:rsid w:val="006D6AF6"/>
    <w:rsid w:val="006E1153"/>
    <w:rsid w:val="006E20CA"/>
    <w:rsid w:val="006E276B"/>
    <w:rsid w:val="006E58F4"/>
    <w:rsid w:val="006E5C04"/>
    <w:rsid w:val="006E6160"/>
    <w:rsid w:val="006E62B9"/>
    <w:rsid w:val="006E7A0D"/>
    <w:rsid w:val="006E7EE5"/>
    <w:rsid w:val="006F1488"/>
    <w:rsid w:val="006F4AF3"/>
    <w:rsid w:val="006F54DC"/>
    <w:rsid w:val="006F59FE"/>
    <w:rsid w:val="006F6657"/>
    <w:rsid w:val="007008CD"/>
    <w:rsid w:val="00701694"/>
    <w:rsid w:val="00704AD1"/>
    <w:rsid w:val="00705C3C"/>
    <w:rsid w:val="00705F87"/>
    <w:rsid w:val="00706036"/>
    <w:rsid w:val="007076BC"/>
    <w:rsid w:val="0070785C"/>
    <w:rsid w:val="00715E95"/>
    <w:rsid w:val="007172DE"/>
    <w:rsid w:val="00720DD7"/>
    <w:rsid w:val="007230AD"/>
    <w:rsid w:val="00725CC9"/>
    <w:rsid w:val="00725F69"/>
    <w:rsid w:val="00727B4B"/>
    <w:rsid w:val="0073178E"/>
    <w:rsid w:val="00733178"/>
    <w:rsid w:val="0073318A"/>
    <w:rsid w:val="00740E16"/>
    <w:rsid w:val="00742B1A"/>
    <w:rsid w:val="00742FA3"/>
    <w:rsid w:val="00742FAA"/>
    <w:rsid w:val="007464E1"/>
    <w:rsid w:val="007468F7"/>
    <w:rsid w:val="0075076D"/>
    <w:rsid w:val="00751B07"/>
    <w:rsid w:val="00752BF3"/>
    <w:rsid w:val="007545A9"/>
    <w:rsid w:val="00756515"/>
    <w:rsid w:val="00756BD0"/>
    <w:rsid w:val="0075776B"/>
    <w:rsid w:val="00763296"/>
    <w:rsid w:val="00767539"/>
    <w:rsid w:val="00772612"/>
    <w:rsid w:val="00774559"/>
    <w:rsid w:val="00774C1A"/>
    <w:rsid w:val="007769A6"/>
    <w:rsid w:val="00780B03"/>
    <w:rsid w:val="00781005"/>
    <w:rsid w:val="00782CF6"/>
    <w:rsid w:val="00783B85"/>
    <w:rsid w:val="00787643"/>
    <w:rsid w:val="00787B75"/>
    <w:rsid w:val="00791A88"/>
    <w:rsid w:val="00794FF8"/>
    <w:rsid w:val="007A10D4"/>
    <w:rsid w:val="007A17C6"/>
    <w:rsid w:val="007A3CB0"/>
    <w:rsid w:val="007A4205"/>
    <w:rsid w:val="007A47D7"/>
    <w:rsid w:val="007A57F3"/>
    <w:rsid w:val="007A67B5"/>
    <w:rsid w:val="007B0841"/>
    <w:rsid w:val="007B0BC9"/>
    <w:rsid w:val="007B43C1"/>
    <w:rsid w:val="007B47BA"/>
    <w:rsid w:val="007B648A"/>
    <w:rsid w:val="007B7324"/>
    <w:rsid w:val="007B7B70"/>
    <w:rsid w:val="007C6E49"/>
    <w:rsid w:val="007C755D"/>
    <w:rsid w:val="007D0F3D"/>
    <w:rsid w:val="007D2BF2"/>
    <w:rsid w:val="007D3734"/>
    <w:rsid w:val="007D483B"/>
    <w:rsid w:val="007E0B13"/>
    <w:rsid w:val="007E167E"/>
    <w:rsid w:val="007E6040"/>
    <w:rsid w:val="007E61A2"/>
    <w:rsid w:val="007F029A"/>
    <w:rsid w:val="007F13A3"/>
    <w:rsid w:val="007F3990"/>
    <w:rsid w:val="007F3A04"/>
    <w:rsid w:val="0080029B"/>
    <w:rsid w:val="008006E9"/>
    <w:rsid w:val="0080099E"/>
    <w:rsid w:val="00800DB8"/>
    <w:rsid w:val="00804177"/>
    <w:rsid w:val="00806FAF"/>
    <w:rsid w:val="00810548"/>
    <w:rsid w:val="00814BB2"/>
    <w:rsid w:val="00821807"/>
    <w:rsid w:val="008225CE"/>
    <w:rsid w:val="008246D5"/>
    <w:rsid w:val="0082609A"/>
    <w:rsid w:val="00832153"/>
    <w:rsid w:val="00833138"/>
    <w:rsid w:val="00835561"/>
    <w:rsid w:val="0083594F"/>
    <w:rsid w:val="00840CBE"/>
    <w:rsid w:val="00843C63"/>
    <w:rsid w:val="008457FF"/>
    <w:rsid w:val="00846742"/>
    <w:rsid w:val="00850FE3"/>
    <w:rsid w:val="00853D53"/>
    <w:rsid w:val="00857115"/>
    <w:rsid w:val="00861624"/>
    <w:rsid w:val="00861B83"/>
    <w:rsid w:val="00863CE5"/>
    <w:rsid w:val="008646E5"/>
    <w:rsid w:val="00867825"/>
    <w:rsid w:val="0086782F"/>
    <w:rsid w:val="0087173D"/>
    <w:rsid w:val="00874050"/>
    <w:rsid w:val="008744A3"/>
    <w:rsid w:val="00874C64"/>
    <w:rsid w:val="00875575"/>
    <w:rsid w:val="0087562B"/>
    <w:rsid w:val="008803DD"/>
    <w:rsid w:val="00880D4B"/>
    <w:rsid w:val="008876A7"/>
    <w:rsid w:val="00887757"/>
    <w:rsid w:val="00887F91"/>
    <w:rsid w:val="00890D26"/>
    <w:rsid w:val="00892012"/>
    <w:rsid w:val="00894E56"/>
    <w:rsid w:val="00896B86"/>
    <w:rsid w:val="008A0719"/>
    <w:rsid w:val="008A0A52"/>
    <w:rsid w:val="008A212C"/>
    <w:rsid w:val="008A2426"/>
    <w:rsid w:val="008A25D1"/>
    <w:rsid w:val="008A39AD"/>
    <w:rsid w:val="008A3CAF"/>
    <w:rsid w:val="008A491E"/>
    <w:rsid w:val="008B33CB"/>
    <w:rsid w:val="008B4B4E"/>
    <w:rsid w:val="008B591D"/>
    <w:rsid w:val="008B5969"/>
    <w:rsid w:val="008B6B6E"/>
    <w:rsid w:val="008B7F9D"/>
    <w:rsid w:val="008C30A1"/>
    <w:rsid w:val="008D09FB"/>
    <w:rsid w:val="008D3E20"/>
    <w:rsid w:val="008D5631"/>
    <w:rsid w:val="008D5FC3"/>
    <w:rsid w:val="008D7A70"/>
    <w:rsid w:val="008D7B87"/>
    <w:rsid w:val="008E073F"/>
    <w:rsid w:val="008E1FB5"/>
    <w:rsid w:val="008E289E"/>
    <w:rsid w:val="008E68D3"/>
    <w:rsid w:val="008E73D7"/>
    <w:rsid w:val="008F77A8"/>
    <w:rsid w:val="0090050A"/>
    <w:rsid w:val="00905A79"/>
    <w:rsid w:val="00905DF6"/>
    <w:rsid w:val="009115C9"/>
    <w:rsid w:val="00913644"/>
    <w:rsid w:val="0091370D"/>
    <w:rsid w:val="00913981"/>
    <w:rsid w:val="0091442B"/>
    <w:rsid w:val="00917B5E"/>
    <w:rsid w:val="009207F4"/>
    <w:rsid w:val="00921F76"/>
    <w:rsid w:val="0092405E"/>
    <w:rsid w:val="00924A17"/>
    <w:rsid w:val="0092526F"/>
    <w:rsid w:val="00930D17"/>
    <w:rsid w:val="00930F0F"/>
    <w:rsid w:val="009332B0"/>
    <w:rsid w:val="00934EB6"/>
    <w:rsid w:val="00937623"/>
    <w:rsid w:val="0093778A"/>
    <w:rsid w:val="00941557"/>
    <w:rsid w:val="0094209B"/>
    <w:rsid w:val="00945F09"/>
    <w:rsid w:val="00946283"/>
    <w:rsid w:val="00947773"/>
    <w:rsid w:val="00947A97"/>
    <w:rsid w:val="009509C7"/>
    <w:rsid w:val="009519B1"/>
    <w:rsid w:val="00952871"/>
    <w:rsid w:val="00952DE0"/>
    <w:rsid w:val="00957CF0"/>
    <w:rsid w:val="009620A0"/>
    <w:rsid w:val="0096229A"/>
    <w:rsid w:val="00962A8B"/>
    <w:rsid w:val="00963142"/>
    <w:rsid w:val="00963F9D"/>
    <w:rsid w:val="009661A0"/>
    <w:rsid w:val="009709F9"/>
    <w:rsid w:val="00970FE4"/>
    <w:rsid w:val="00972E97"/>
    <w:rsid w:val="00973E83"/>
    <w:rsid w:val="0097414A"/>
    <w:rsid w:val="009760CB"/>
    <w:rsid w:val="00977647"/>
    <w:rsid w:val="00981052"/>
    <w:rsid w:val="009823CB"/>
    <w:rsid w:val="00982B84"/>
    <w:rsid w:val="00986D9D"/>
    <w:rsid w:val="00987E8D"/>
    <w:rsid w:val="0099102C"/>
    <w:rsid w:val="009A0077"/>
    <w:rsid w:val="009A1DC6"/>
    <w:rsid w:val="009A59D0"/>
    <w:rsid w:val="009A601A"/>
    <w:rsid w:val="009A6DCA"/>
    <w:rsid w:val="009B3E74"/>
    <w:rsid w:val="009B527C"/>
    <w:rsid w:val="009B5AFE"/>
    <w:rsid w:val="009B68E1"/>
    <w:rsid w:val="009C46E5"/>
    <w:rsid w:val="009C65EE"/>
    <w:rsid w:val="009C65F9"/>
    <w:rsid w:val="009D0DDA"/>
    <w:rsid w:val="009D5A65"/>
    <w:rsid w:val="009D5E82"/>
    <w:rsid w:val="009E2980"/>
    <w:rsid w:val="009E3133"/>
    <w:rsid w:val="009E47D4"/>
    <w:rsid w:val="009E58CF"/>
    <w:rsid w:val="009E7D49"/>
    <w:rsid w:val="009F0275"/>
    <w:rsid w:val="009F5CEE"/>
    <w:rsid w:val="009F6648"/>
    <w:rsid w:val="00A017FF"/>
    <w:rsid w:val="00A03AF5"/>
    <w:rsid w:val="00A05C17"/>
    <w:rsid w:val="00A06805"/>
    <w:rsid w:val="00A16CAF"/>
    <w:rsid w:val="00A20ADE"/>
    <w:rsid w:val="00A23884"/>
    <w:rsid w:val="00A238E3"/>
    <w:rsid w:val="00A30A67"/>
    <w:rsid w:val="00A36920"/>
    <w:rsid w:val="00A40134"/>
    <w:rsid w:val="00A407BC"/>
    <w:rsid w:val="00A42FE2"/>
    <w:rsid w:val="00A46863"/>
    <w:rsid w:val="00A5193E"/>
    <w:rsid w:val="00A55413"/>
    <w:rsid w:val="00A55DD6"/>
    <w:rsid w:val="00A55FD6"/>
    <w:rsid w:val="00A5614A"/>
    <w:rsid w:val="00A56EBB"/>
    <w:rsid w:val="00A60440"/>
    <w:rsid w:val="00A61A8C"/>
    <w:rsid w:val="00A6285B"/>
    <w:rsid w:val="00A7115A"/>
    <w:rsid w:val="00A74D54"/>
    <w:rsid w:val="00A75CE9"/>
    <w:rsid w:val="00A86179"/>
    <w:rsid w:val="00A86CD6"/>
    <w:rsid w:val="00A92609"/>
    <w:rsid w:val="00A92AA4"/>
    <w:rsid w:val="00A94281"/>
    <w:rsid w:val="00A94356"/>
    <w:rsid w:val="00AA1AE8"/>
    <w:rsid w:val="00AA1B63"/>
    <w:rsid w:val="00AA6E3E"/>
    <w:rsid w:val="00AB5248"/>
    <w:rsid w:val="00AC4064"/>
    <w:rsid w:val="00AC7A33"/>
    <w:rsid w:val="00AD0695"/>
    <w:rsid w:val="00AD0DCF"/>
    <w:rsid w:val="00AD1068"/>
    <w:rsid w:val="00AD145B"/>
    <w:rsid w:val="00AD3EFB"/>
    <w:rsid w:val="00AD6937"/>
    <w:rsid w:val="00AD798F"/>
    <w:rsid w:val="00AE3268"/>
    <w:rsid w:val="00AE38A6"/>
    <w:rsid w:val="00AE469F"/>
    <w:rsid w:val="00AE5FA6"/>
    <w:rsid w:val="00AE6A0E"/>
    <w:rsid w:val="00AF2422"/>
    <w:rsid w:val="00AF49C3"/>
    <w:rsid w:val="00AF4B3B"/>
    <w:rsid w:val="00AF726B"/>
    <w:rsid w:val="00AF77DE"/>
    <w:rsid w:val="00B066AA"/>
    <w:rsid w:val="00B1389B"/>
    <w:rsid w:val="00B138FA"/>
    <w:rsid w:val="00B145CD"/>
    <w:rsid w:val="00B146D0"/>
    <w:rsid w:val="00B15D31"/>
    <w:rsid w:val="00B168A5"/>
    <w:rsid w:val="00B26B91"/>
    <w:rsid w:val="00B301E5"/>
    <w:rsid w:val="00B31978"/>
    <w:rsid w:val="00B3553A"/>
    <w:rsid w:val="00B3639C"/>
    <w:rsid w:val="00B41036"/>
    <w:rsid w:val="00B42525"/>
    <w:rsid w:val="00B442B7"/>
    <w:rsid w:val="00B44AF9"/>
    <w:rsid w:val="00B45840"/>
    <w:rsid w:val="00B50838"/>
    <w:rsid w:val="00B52D76"/>
    <w:rsid w:val="00B532BF"/>
    <w:rsid w:val="00B53FBA"/>
    <w:rsid w:val="00B54118"/>
    <w:rsid w:val="00B559FA"/>
    <w:rsid w:val="00B61979"/>
    <w:rsid w:val="00B65832"/>
    <w:rsid w:val="00B71A89"/>
    <w:rsid w:val="00B75797"/>
    <w:rsid w:val="00B76894"/>
    <w:rsid w:val="00B76C94"/>
    <w:rsid w:val="00B77B9F"/>
    <w:rsid w:val="00B81A65"/>
    <w:rsid w:val="00B82ED4"/>
    <w:rsid w:val="00B83743"/>
    <w:rsid w:val="00B863BC"/>
    <w:rsid w:val="00B91AE0"/>
    <w:rsid w:val="00B91D6E"/>
    <w:rsid w:val="00B93AFA"/>
    <w:rsid w:val="00BA00D7"/>
    <w:rsid w:val="00BA7B2C"/>
    <w:rsid w:val="00BC1920"/>
    <w:rsid w:val="00BC1B14"/>
    <w:rsid w:val="00BC7E6A"/>
    <w:rsid w:val="00BD02FC"/>
    <w:rsid w:val="00BD2131"/>
    <w:rsid w:val="00BD2783"/>
    <w:rsid w:val="00BE0292"/>
    <w:rsid w:val="00BE32E5"/>
    <w:rsid w:val="00BE4DB3"/>
    <w:rsid w:val="00BF1783"/>
    <w:rsid w:val="00BF2EA9"/>
    <w:rsid w:val="00BF3B72"/>
    <w:rsid w:val="00BF3DFC"/>
    <w:rsid w:val="00BF43A5"/>
    <w:rsid w:val="00BF5254"/>
    <w:rsid w:val="00BF7417"/>
    <w:rsid w:val="00C02106"/>
    <w:rsid w:val="00C02A44"/>
    <w:rsid w:val="00C0707E"/>
    <w:rsid w:val="00C07B8A"/>
    <w:rsid w:val="00C07BE1"/>
    <w:rsid w:val="00C11788"/>
    <w:rsid w:val="00C11FB8"/>
    <w:rsid w:val="00C12DD7"/>
    <w:rsid w:val="00C14CCF"/>
    <w:rsid w:val="00C1612C"/>
    <w:rsid w:val="00C21304"/>
    <w:rsid w:val="00C22252"/>
    <w:rsid w:val="00C257D7"/>
    <w:rsid w:val="00C260B6"/>
    <w:rsid w:val="00C26700"/>
    <w:rsid w:val="00C27F59"/>
    <w:rsid w:val="00C322A3"/>
    <w:rsid w:val="00C34307"/>
    <w:rsid w:val="00C34880"/>
    <w:rsid w:val="00C34C36"/>
    <w:rsid w:val="00C40CE3"/>
    <w:rsid w:val="00C40ED5"/>
    <w:rsid w:val="00C4768E"/>
    <w:rsid w:val="00C507FD"/>
    <w:rsid w:val="00C51C49"/>
    <w:rsid w:val="00C61939"/>
    <w:rsid w:val="00C62CDB"/>
    <w:rsid w:val="00C636E7"/>
    <w:rsid w:val="00C64BAC"/>
    <w:rsid w:val="00C65CCB"/>
    <w:rsid w:val="00C70F9C"/>
    <w:rsid w:val="00C7150D"/>
    <w:rsid w:val="00C72591"/>
    <w:rsid w:val="00C7299D"/>
    <w:rsid w:val="00C732CF"/>
    <w:rsid w:val="00C74D83"/>
    <w:rsid w:val="00C77900"/>
    <w:rsid w:val="00C81465"/>
    <w:rsid w:val="00C82E11"/>
    <w:rsid w:val="00C83351"/>
    <w:rsid w:val="00C846FA"/>
    <w:rsid w:val="00C84F82"/>
    <w:rsid w:val="00C87719"/>
    <w:rsid w:val="00C87C47"/>
    <w:rsid w:val="00C9639E"/>
    <w:rsid w:val="00CA0F9C"/>
    <w:rsid w:val="00CA0FE2"/>
    <w:rsid w:val="00CA5B83"/>
    <w:rsid w:val="00CA7D69"/>
    <w:rsid w:val="00CB3C12"/>
    <w:rsid w:val="00CB4B91"/>
    <w:rsid w:val="00CC0054"/>
    <w:rsid w:val="00CC0F39"/>
    <w:rsid w:val="00CC71C8"/>
    <w:rsid w:val="00CC76D8"/>
    <w:rsid w:val="00CC78BC"/>
    <w:rsid w:val="00CD2619"/>
    <w:rsid w:val="00CD3FD9"/>
    <w:rsid w:val="00CD47B5"/>
    <w:rsid w:val="00CD753D"/>
    <w:rsid w:val="00CD7721"/>
    <w:rsid w:val="00CD7AE9"/>
    <w:rsid w:val="00CE2F76"/>
    <w:rsid w:val="00CE3E71"/>
    <w:rsid w:val="00CE4E29"/>
    <w:rsid w:val="00CE4FBE"/>
    <w:rsid w:val="00CE6F11"/>
    <w:rsid w:val="00CE7CDA"/>
    <w:rsid w:val="00CF162E"/>
    <w:rsid w:val="00CF2697"/>
    <w:rsid w:val="00CF3621"/>
    <w:rsid w:val="00CF5633"/>
    <w:rsid w:val="00CF73DF"/>
    <w:rsid w:val="00D0104D"/>
    <w:rsid w:val="00D03CE0"/>
    <w:rsid w:val="00D04862"/>
    <w:rsid w:val="00D04DAA"/>
    <w:rsid w:val="00D06B74"/>
    <w:rsid w:val="00D1038C"/>
    <w:rsid w:val="00D10EE5"/>
    <w:rsid w:val="00D1201A"/>
    <w:rsid w:val="00D136CB"/>
    <w:rsid w:val="00D17C74"/>
    <w:rsid w:val="00D22B82"/>
    <w:rsid w:val="00D254CB"/>
    <w:rsid w:val="00D257BD"/>
    <w:rsid w:val="00D261B0"/>
    <w:rsid w:val="00D26A3B"/>
    <w:rsid w:val="00D2742A"/>
    <w:rsid w:val="00D27A9C"/>
    <w:rsid w:val="00D303C1"/>
    <w:rsid w:val="00D32015"/>
    <w:rsid w:val="00D32732"/>
    <w:rsid w:val="00D340AE"/>
    <w:rsid w:val="00D34D07"/>
    <w:rsid w:val="00D36127"/>
    <w:rsid w:val="00D362A5"/>
    <w:rsid w:val="00D40582"/>
    <w:rsid w:val="00D40A60"/>
    <w:rsid w:val="00D50BA3"/>
    <w:rsid w:val="00D51E76"/>
    <w:rsid w:val="00D52591"/>
    <w:rsid w:val="00D53061"/>
    <w:rsid w:val="00D5340B"/>
    <w:rsid w:val="00D55F8F"/>
    <w:rsid w:val="00D57771"/>
    <w:rsid w:val="00D62840"/>
    <w:rsid w:val="00D638AD"/>
    <w:rsid w:val="00D67A58"/>
    <w:rsid w:val="00D70C20"/>
    <w:rsid w:val="00D71899"/>
    <w:rsid w:val="00D746E4"/>
    <w:rsid w:val="00D775F2"/>
    <w:rsid w:val="00D830B6"/>
    <w:rsid w:val="00D86A36"/>
    <w:rsid w:val="00D87E23"/>
    <w:rsid w:val="00D906B8"/>
    <w:rsid w:val="00D940E6"/>
    <w:rsid w:val="00D94EDC"/>
    <w:rsid w:val="00D9559B"/>
    <w:rsid w:val="00D95C7D"/>
    <w:rsid w:val="00DA27E0"/>
    <w:rsid w:val="00DA2D0F"/>
    <w:rsid w:val="00DA6DB0"/>
    <w:rsid w:val="00DA7A06"/>
    <w:rsid w:val="00DB0713"/>
    <w:rsid w:val="00DB15BD"/>
    <w:rsid w:val="00DB5ACD"/>
    <w:rsid w:val="00DB7845"/>
    <w:rsid w:val="00DC3A13"/>
    <w:rsid w:val="00DD3E25"/>
    <w:rsid w:val="00DD7398"/>
    <w:rsid w:val="00DD7AEA"/>
    <w:rsid w:val="00DE3BA6"/>
    <w:rsid w:val="00DE3CFE"/>
    <w:rsid w:val="00DE48D4"/>
    <w:rsid w:val="00DE5ED4"/>
    <w:rsid w:val="00DE6BB4"/>
    <w:rsid w:val="00DF37FF"/>
    <w:rsid w:val="00DF3BEF"/>
    <w:rsid w:val="00DF44F9"/>
    <w:rsid w:val="00DF4903"/>
    <w:rsid w:val="00DF6961"/>
    <w:rsid w:val="00DF6B9B"/>
    <w:rsid w:val="00E01077"/>
    <w:rsid w:val="00E02FF9"/>
    <w:rsid w:val="00E0332E"/>
    <w:rsid w:val="00E03DD3"/>
    <w:rsid w:val="00E052E9"/>
    <w:rsid w:val="00E05BC6"/>
    <w:rsid w:val="00E104EC"/>
    <w:rsid w:val="00E11DAC"/>
    <w:rsid w:val="00E16EEB"/>
    <w:rsid w:val="00E20D61"/>
    <w:rsid w:val="00E2639D"/>
    <w:rsid w:val="00E263B4"/>
    <w:rsid w:val="00E26753"/>
    <w:rsid w:val="00E277FB"/>
    <w:rsid w:val="00E27A1B"/>
    <w:rsid w:val="00E305B9"/>
    <w:rsid w:val="00E308AB"/>
    <w:rsid w:val="00E34899"/>
    <w:rsid w:val="00E37DBD"/>
    <w:rsid w:val="00E41ED6"/>
    <w:rsid w:val="00E4305C"/>
    <w:rsid w:val="00E4651D"/>
    <w:rsid w:val="00E53BF7"/>
    <w:rsid w:val="00E54D62"/>
    <w:rsid w:val="00E623F5"/>
    <w:rsid w:val="00E62797"/>
    <w:rsid w:val="00E64238"/>
    <w:rsid w:val="00E65B27"/>
    <w:rsid w:val="00E708FE"/>
    <w:rsid w:val="00E719FF"/>
    <w:rsid w:val="00E7427A"/>
    <w:rsid w:val="00E80948"/>
    <w:rsid w:val="00E8116F"/>
    <w:rsid w:val="00E81E5B"/>
    <w:rsid w:val="00E8415E"/>
    <w:rsid w:val="00E8588E"/>
    <w:rsid w:val="00E872E5"/>
    <w:rsid w:val="00E9148F"/>
    <w:rsid w:val="00E922C1"/>
    <w:rsid w:val="00E928C0"/>
    <w:rsid w:val="00EA2675"/>
    <w:rsid w:val="00EA277F"/>
    <w:rsid w:val="00EA432B"/>
    <w:rsid w:val="00EA57CA"/>
    <w:rsid w:val="00EA5CEE"/>
    <w:rsid w:val="00EA5FBB"/>
    <w:rsid w:val="00EB00BD"/>
    <w:rsid w:val="00EC2BBA"/>
    <w:rsid w:val="00EC47AA"/>
    <w:rsid w:val="00ED1078"/>
    <w:rsid w:val="00ED10D8"/>
    <w:rsid w:val="00ED3E48"/>
    <w:rsid w:val="00ED513A"/>
    <w:rsid w:val="00ED51EE"/>
    <w:rsid w:val="00ED5E0F"/>
    <w:rsid w:val="00ED7B33"/>
    <w:rsid w:val="00EE00A4"/>
    <w:rsid w:val="00EE03C1"/>
    <w:rsid w:val="00EE0754"/>
    <w:rsid w:val="00EE1E50"/>
    <w:rsid w:val="00EE2074"/>
    <w:rsid w:val="00EE4506"/>
    <w:rsid w:val="00EE4F4F"/>
    <w:rsid w:val="00EE680C"/>
    <w:rsid w:val="00EF0078"/>
    <w:rsid w:val="00EF324D"/>
    <w:rsid w:val="00EF345A"/>
    <w:rsid w:val="00EF7FC9"/>
    <w:rsid w:val="00F03B98"/>
    <w:rsid w:val="00F05DD3"/>
    <w:rsid w:val="00F06FE4"/>
    <w:rsid w:val="00F11D48"/>
    <w:rsid w:val="00F14F32"/>
    <w:rsid w:val="00F1778D"/>
    <w:rsid w:val="00F20EFA"/>
    <w:rsid w:val="00F2458D"/>
    <w:rsid w:val="00F276CD"/>
    <w:rsid w:val="00F310CA"/>
    <w:rsid w:val="00F31341"/>
    <w:rsid w:val="00F32511"/>
    <w:rsid w:val="00F34CCD"/>
    <w:rsid w:val="00F40C2C"/>
    <w:rsid w:val="00F438FA"/>
    <w:rsid w:val="00F44B99"/>
    <w:rsid w:val="00F44F4A"/>
    <w:rsid w:val="00F44FCC"/>
    <w:rsid w:val="00F50D2C"/>
    <w:rsid w:val="00F52356"/>
    <w:rsid w:val="00F569E2"/>
    <w:rsid w:val="00F57855"/>
    <w:rsid w:val="00F57E52"/>
    <w:rsid w:val="00F608E5"/>
    <w:rsid w:val="00F65FA3"/>
    <w:rsid w:val="00F70AC9"/>
    <w:rsid w:val="00F70D07"/>
    <w:rsid w:val="00F76DB7"/>
    <w:rsid w:val="00F80255"/>
    <w:rsid w:val="00F82ECC"/>
    <w:rsid w:val="00F83A44"/>
    <w:rsid w:val="00F83B14"/>
    <w:rsid w:val="00F9391E"/>
    <w:rsid w:val="00F96FD2"/>
    <w:rsid w:val="00FA1C0B"/>
    <w:rsid w:val="00FA2C7A"/>
    <w:rsid w:val="00FA4EA7"/>
    <w:rsid w:val="00FA5B82"/>
    <w:rsid w:val="00FA6D15"/>
    <w:rsid w:val="00FA796F"/>
    <w:rsid w:val="00FB04E8"/>
    <w:rsid w:val="00FB51F1"/>
    <w:rsid w:val="00FC0584"/>
    <w:rsid w:val="00FC0716"/>
    <w:rsid w:val="00FC0B44"/>
    <w:rsid w:val="00FC11FE"/>
    <w:rsid w:val="00FC70C2"/>
    <w:rsid w:val="00FC788C"/>
    <w:rsid w:val="00FC7E0A"/>
    <w:rsid w:val="00FC7F4A"/>
    <w:rsid w:val="00FD13C7"/>
    <w:rsid w:val="00FD19FF"/>
    <w:rsid w:val="00FD1BF7"/>
    <w:rsid w:val="00FD1F69"/>
    <w:rsid w:val="00FD370E"/>
    <w:rsid w:val="00FD4D73"/>
    <w:rsid w:val="00FE1FEF"/>
    <w:rsid w:val="00FE4BFC"/>
    <w:rsid w:val="00FE6200"/>
    <w:rsid w:val="00FF01C8"/>
    <w:rsid w:val="00FF2411"/>
    <w:rsid w:val="00FF6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2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41AE14FAD49036BC82B5E1AC611F94E9102CE36F22FFF3B7614EE3197FD4BFF8A39DD9777CE44fC0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4769</Words>
  <Characters>27184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 Андрей Николаевич</dc:creator>
  <cp:lastModifiedBy>Shesterikova.YS</cp:lastModifiedBy>
  <cp:revision>2</cp:revision>
  <dcterms:created xsi:type="dcterms:W3CDTF">2017-04-06T12:39:00Z</dcterms:created>
  <dcterms:modified xsi:type="dcterms:W3CDTF">2017-04-06T12:39:00Z</dcterms:modified>
</cp:coreProperties>
</file>